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147DC" w14:paraId="398D5995" w14:textId="77777777" w:rsidTr="00F664A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p w14:paraId="37585CC8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7559DB15" w14:textId="77777777" w:rsidTr="00F664A5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A147DC" w14:paraId="29FB163D" w14:textId="77777777" w:rsidTr="00F664A5"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3EC440A" w14:textId="77777777" w:rsidR="00A147DC" w:rsidRDefault="00A147DC" w:rsidP="00F664A5"/>
                    </w:tc>
                  </w:tr>
                </w:tbl>
                <w:p w14:paraId="2090FD80" w14:textId="77777777" w:rsidR="00A147DC" w:rsidRDefault="00A147DC" w:rsidP="00F664A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36AEB1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33A6F78A" w14:textId="77777777" w:rsidTr="00F664A5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147DC" w14:paraId="10A9BDF4" w14:textId="77777777" w:rsidTr="00F664A5">
                    <w:tc>
                      <w:tcPr>
                        <w:tcW w:w="0" w:type="auto"/>
                        <w:hideMark/>
                      </w:tcPr>
                      <w:p w14:paraId="33D86BBB" w14:textId="77777777" w:rsidR="00A147DC" w:rsidRDefault="00A147DC" w:rsidP="00F664A5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7EB27C4C" wp14:editId="20576147">
                              <wp:extent cx="5715000" cy="3208020"/>
                              <wp:effectExtent l="0" t="0" r="0" b="0"/>
                              <wp:docPr id="9" name="Picture 9">
                                <a:hlinkClick xmlns:a="http://schemas.openxmlformats.org/drawingml/2006/main" r:id="rId5" tooltip="&quot;&quot; t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08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AE8E506" w14:textId="77777777" w:rsidR="00A147DC" w:rsidRDefault="00A147DC" w:rsidP="00F664A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73333D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2B3BA409" w14:textId="77777777" w:rsidTr="00F664A5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147DC" w14:paraId="1B2F21E2" w14:textId="77777777" w:rsidTr="00F664A5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147DC" w14:paraId="0354E43E" w14:textId="77777777" w:rsidTr="00F664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981774A" w14:textId="77777777" w:rsidR="00A147DC" w:rsidRDefault="00A147DC" w:rsidP="00F664A5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Lockdown measures are changing from Wednesday 13 May.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In order to protect ourselves, members of our family, our most vulnerable people and the key workers that care for them, it's crucial that you continue to:  </w:t>
                              </w:r>
                            </w:p>
                            <w:p w14:paraId="46CA1A57" w14:textId="77777777" w:rsidR="00A147DC" w:rsidRDefault="00A147DC" w:rsidP="00F664A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Stay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Alert  </w:t>
                              </w:r>
                              <w:r>
                                <w:rPr>
                                  <w:rStyle w:val="Strong"/>
                                  <w:rFonts w:ascii="Segoe UI Symbol" w:eastAsia="Times New Roman" w:hAnsi="Segoe UI Symbol"/>
                                  <w:color w:val="00FF00"/>
                                  <w:sz w:val="21"/>
                                  <w:szCs w:val="21"/>
                                </w:rPr>
                                <w:t>✓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   by staying at home as much as possible</w:t>
                              </w:r>
                            </w:p>
                            <w:p w14:paraId="526147E2" w14:textId="77777777" w:rsidR="00A147DC" w:rsidRDefault="00A147DC" w:rsidP="00F664A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Stay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Alert  </w:t>
                              </w:r>
                              <w:r>
                                <w:rPr>
                                  <w:rStyle w:val="Strong"/>
                                  <w:rFonts w:ascii="Segoe UI Symbol" w:eastAsia="Times New Roman" w:hAnsi="Segoe UI Symbol"/>
                                  <w:color w:val="00FF00"/>
                                  <w:sz w:val="21"/>
                                  <w:szCs w:val="21"/>
                                </w:rPr>
                                <w:t>✓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   by working from home if you can</w:t>
                              </w:r>
                            </w:p>
                            <w:p w14:paraId="790F7F7E" w14:textId="77777777" w:rsidR="00A147DC" w:rsidRDefault="00A147DC" w:rsidP="00F664A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Stay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Alert  </w:t>
                              </w:r>
                              <w:r>
                                <w:rPr>
                                  <w:rStyle w:val="Strong"/>
                                  <w:rFonts w:ascii="Segoe UI Symbol" w:eastAsia="Times New Roman" w:hAnsi="Segoe UI Symbol"/>
                                  <w:color w:val="00FF00"/>
                                  <w:sz w:val="21"/>
                                  <w:szCs w:val="21"/>
                                </w:rPr>
                                <w:t>✓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   by keeping your distance if you go out (2m apart where possible)</w:t>
                              </w:r>
                            </w:p>
                            <w:p w14:paraId="629AEF2B" w14:textId="77777777" w:rsidR="00A147DC" w:rsidRDefault="00A147DC" w:rsidP="00F664A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Stay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Alert  </w:t>
                              </w:r>
                              <w:r>
                                <w:rPr>
                                  <w:rStyle w:val="Strong"/>
                                  <w:rFonts w:ascii="Segoe UI Symbol" w:eastAsia="Times New Roman" w:hAnsi="Segoe UI Symbol"/>
                                  <w:color w:val="00FF00"/>
                                  <w:sz w:val="21"/>
                                  <w:szCs w:val="21"/>
                                </w:rPr>
                                <w:t>✓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   by limiting your contact with other people </w:t>
                              </w:r>
                            </w:p>
                            <w:p w14:paraId="6CD64220" w14:textId="77777777" w:rsidR="00A147DC" w:rsidRDefault="00A147DC" w:rsidP="00F664A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Stay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Alert  </w:t>
                              </w:r>
                              <w:r>
                                <w:rPr>
                                  <w:rStyle w:val="Strong"/>
                                  <w:rFonts w:ascii="Segoe UI Symbol" w:eastAsia="Times New Roman" w:hAnsi="Segoe UI Symbol"/>
                                  <w:color w:val="00FF00"/>
                                  <w:sz w:val="21"/>
                                  <w:szCs w:val="21"/>
                                </w:rPr>
                                <w:t>✓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   by washing your hands regularly </w:t>
                              </w:r>
                            </w:p>
                            <w:p w14:paraId="716679A0" w14:textId="1C8F8BDA" w:rsidR="00A147DC" w:rsidRDefault="00A147DC" w:rsidP="00A147D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If you live with anyone who is displaying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symptoms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 then you must stay at home.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If you are unsure of what has changed and what you can and can’t do, please </w:t>
                              </w:r>
                              <w:hyperlink r:id="rId7" w:tgtFrame="_blank" w:history="1">
                                <w:r>
                                  <w:rPr>
                                    <w:rStyle w:val="Hyperlink"/>
                                    <w:color w:val="007C89"/>
                                    <w:sz w:val="21"/>
                                    <w:szCs w:val="21"/>
                                  </w:rPr>
                                  <w:t>click here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 for a list of the Government’s frequently asked questions.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14:paraId="6AC4CE66" w14:textId="77777777" w:rsidR="00A147DC" w:rsidRDefault="00A147DC" w:rsidP="00F664A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33AB32" w14:textId="77777777" w:rsidR="00A147DC" w:rsidRDefault="00A147DC" w:rsidP="00F664A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10C550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64034838" w14:textId="77777777" w:rsidTr="00F664A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"/>
                    <w:gridCol w:w="8988"/>
                  </w:tblGrid>
                  <w:tr w:rsidR="00A147DC" w14:paraId="39BAECFC" w14:textId="77777777" w:rsidTr="00F664A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06E51F2" w14:textId="77777777" w:rsidR="00A147DC" w:rsidRDefault="00A147DC" w:rsidP="00F664A5"/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8"/>
                        </w:tblGrid>
                        <w:tr w:rsidR="00A147DC" w14:paraId="488EAB2D" w14:textId="77777777" w:rsidTr="00F664A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7F5E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8"/>
                              </w:tblGrid>
                              <w:tr w:rsidR="00A147DC" w14:paraId="60FB7A47" w14:textId="77777777" w:rsidTr="00F664A5">
                                <w:tc>
                                  <w:tcPr>
                                    <w:tcW w:w="0" w:type="auto"/>
                                    <w:shd w:val="clear" w:color="auto" w:fill="E7F5E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34AA07C" w14:textId="77777777" w:rsidR="00A147DC" w:rsidRDefault="00A147DC" w:rsidP="00F664A5">
                                    <w:pPr>
                                      <w:pStyle w:val="Heading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t>Latest Government update</w:t>
                                    </w:r>
                                  </w:p>
                                </w:tc>
                              </w:tr>
                            </w:tbl>
                            <w:p w14:paraId="2A8EEFB5" w14:textId="77777777" w:rsidR="00A147DC" w:rsidRDefault="00A147DC" w:rsidP="00F664A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49AE92" w14:textId="77777777" w:rsidR="00A147DC" w:rsidRDefault="00A147DC" w:rsidP="00F664A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224022" w14:textId="77777777" w:rsidR="00A147DC" w:rsidRDefault="00A147DC" w:rsidP="00F664A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F66D73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42745D53" w14:textId="77777777" w:rsidTr="00F664A5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147DC" w14:paraId="6899D8E1" w14:textId="77777777" w:rsidTr="00F664A5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147DC" w14:paraId="7BC20198" w14:textId="77777777" w:rsidTr="00F664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4D1BE34" w14:textId="77777777" w:rsidR="00A147DC" w:rsidRDefault="00A147DC" w:rsidP="00F664A5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lastRenderedPageBreak/>
                                <w:t>Following the Prime Minister Boris Johnson's statement yesterday, and the guidance document released this afternoon, the Government has outlined a recovery strategy Phase One that starts on Wednesday 13 May.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Phase One (from Wednesday 13 May)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  <w:u w:val="single"/>
                                </w:rPr>
                                <w:t>Workplaces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: </w:t>
                              </w:r>
                            </w:p>
                            <w:p w14:paraId="3D7A9A3F" w14:textId="77777777" w:rsidR="00A147DC" w:rsidRDefault="00A147DC" w:rsidP="00F664A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For the foreseeable future, people should continue to work from home wherever possible. </w:t>
                              </w:r>
                            </w:p>
                            <w:p w14:paraId="237C360F" w14:textId="77777777" w:rsidR="00A147DC" w:rsidRDefault="00A147DC" w:rsidP="00F664A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Workers who cannot work from home (for example those in construction, manufacturing, labs and research facilities) should consult their employers and if their workplace is open and COVID-19 secure return to work.</w:t>
                              </w:r>
                            </w:p>
                            <w:p w14:paraId="6F32A8C0" w14:textId="77777777" w:rsidR="00A147DC" w:rsidRDefault="00A147DC" w:rsidP="00F664A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Workplaces should strictly follow social distancing measures and new “COVID-19 Secure” guidelines </w:t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eastAsia="Times New Roman"/>
                                    <w:color w:val="007C89"/>
                                    <w:sz w:val="21"/>
                                    <w:szCs w:val="21"/>
                                  </w:rPr>
                                  <w:t>available here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. </w:t>
                              </w:r>
                            </w:p>
                            <w:p w14:paraId="0580BCA6" w14:textId="77777777" w:rsidR="00A147DC" w:rsidRDefault="00A147DC" w:rsidP="00F664A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Non-essential retail, restaurants, pubs, bars gyms and leisure centres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will remain closed. </w:t>
                              </w:r>
                            </w:p>
                            <w:p w14:paraId="36D1D930" w14:textId="77777777" w:rsidR="00A147DC" w:rsidRDefault="00A147DC" w:rsidP="00F664A5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  <w:u w:val="single"/>
                                </w:rPr>
                                <w:t>Transport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: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2B85D8B6" w14:textId="77777777" w:rsidR="00A147DC" w:rsidRDefault="00A147DC" w:rsidP="00F664A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If you cannot work from home and 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have to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 travel to work, or if you must make an essential journey, you should cycle or walk wherever possible.</w:t>
                              </w:r>
                            </w:p>
                            <w:p w14:paraId="48D78287" w14:textId="77777777" w:rsidR="00A147DC" w:rsidRDefault="00A147DC" w:rsidP="00F664A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Before you travel on public transport, consider if your journey is necessary and if you can, stay local. Try to reduce your travel.</w:t>
                              </w:r>
                            </w:p>
                            <w:p w14:paraId="0EB748AB" w14:textId="77777777" w:rsidR="00A147DC" w:rsidRDefault="00A147DC" w:rsidP="00F664A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Social distancing guidance on public transport must be followed rigorously. </w:t>
                              </w:r>
                            </w:p>
                            <w:p w14:paraId="286B7082" w14:textId="77777777" w:rsidR="00A147DC" w:rsidRDefault="00A147DC" w:rsidP="00F664A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If you can, wear a face covering in an enclosed space where social distancing isn’t possible and where you will </w:t>
                              </w:r>
                              <w:proofErr w:type="gramStart"/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come into contact with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 people you do not normally meet. This is most relevant for short periods indoors in crowded areas, for example on public transport or in some shops.</w:t>
                              </w:r>
                            </w:p>
                            <w:p w14:paraId="3CC80165" w14:textId="77777777" w:rsidR="00A147DC" w:rsidRDefault="00A147DC" w:rsidP="00F664A5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  <w:u w:val="single"/>
                                </w:rPr>
                                <w:t>Schools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: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5FEA552F" w14:textId="77777777" w:rsidR="00A147DC" w:rsidRDefault="00A147DC" w:rsidP="00F664A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Schools remain open for children who are vulnerable or children whose parents are essential to the COVID-19 response. Check our </w:t>
                              </w:r>
                              <w:hyperlink r:id="rId9" w:tgtFrame="_blank" w:tooltip="https://westminster.us1.list-manage.com/track/click?u=a50c8b0dd980669ef713b4cca&amp;id=19dbb41edc&amp;e=d1badfe10a" w:history="1">
                                <w:r>
                                  <w:rPr>
                                    <w:rStyle w:val="Hyperlink"/>
                                    <w:rFonts w:eastAsia="Times New Roman"/>
                                    <w:color w:val="007C89"/>
                                    <w:sz w:val="21"/>
                                    <w:szCs w:val="21"/>
                                  </w:rPr>
                                  <w:t>website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 for the latest information on which schools in Westminster are open.</w:t>
                              </w:r>
                            </w:p>
                            <w:p w14:paraId="3BD2CF94" w14:textId="77777777" w:rsidR="00A147DC" w:rsidRDefault="00A147DC" w:rsidP="00F664A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Schools should prepare to begin opening for more children from 1 June. The government expects children to be able to return to early years settings, and for Reception, Year 1 and Year 6 to be back in school in smaller class sizes from this point.</w:t>
                              </w:r>
                            </w:p>
                            <w:p w14:paraId="21724300" w14:textId="77777777" w:rsidR="00A147DC" w:rsidRDefault="00A147DC" w:rsidP="00F664A5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  <w:u w:val="single"/>
                                </w:rPr>
                                <w:t>Leisure and exercise: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 xml:space="preserve">There will be a limited number of things you can do on Wednesday that you cannot do now: </w:t>
                              </w:r>
                            </w:p>
                            <w:p w14:paraId="37810F7F" w14:textId="77777777" w:rsidR="00A147DC" w:rsidRDefault="00A147DC" w:rsidP="00F664A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Spend time outdoors – for example sitting and enjoying the fresh air, picnicking, or sunbathing</w:t>
                              </w:r>
                            </w:p>
                            <w:p w14:paraId="6D3C5353" w14:textId="77777777" w:rsidR="00A147DC" w:rsidRDefault="00A147DC" w:rsidP="00F664A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Meet one other person from a different household outdoors - following social distancing guidelines</w:t>
                              </w:r>
                            </w:p>
                            <w:p w14:paraId="3E558F56" w14:textId="77777777" w:rsidR="00A147DC" w:rsidRDefault="00A147DC" w:rsidP="00F664A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Exercise outdoors as often as you wish - following social distancing guidelines</w:t>
                              </w:r>
                            </w:p>
                            <w:p w14:paraId="7368BD91" w14:textId="77777777" w:rsidR="00A147DC" w:rsidRDefault="00A147DC" w:rsidP="00F664A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Use outdoor sports courts or facilities, such as a tennis or basketball court, or golf course – with members of your household, or one other person while staying 2 metres apart</w:t>
                              </w:r>
                            </w:p>
                            <w:p w14:paraId="143D5006" w14:textId="77777777" w:rsidR="00A147DC" w:rsidRDefault="00A147DC" w:rsidP="00F664A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Go to a garden centre</w:t>
                              </w:r>
                            </w:p>
                            <w:p w14:paraId="0F33C2D6" w14:textId="77777777" w:rsidR="00A147DC" w:rsidRDefault="00A147DC" w:rsidP="00F664A5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At all times, you should continue to observe social distancing guidelines when you are outside your home, including ensuring you are 2 metres away from anyone outside your household. As with before, you cannot: </w:t>
                              </w:r>
                            </w:p>
                            <w:p w14:paraId="4FC63840" w14:textId="77777777" w:rsidR="00A147DC" w:rsidRDefault="00A147DC" w:rsidP="00F664A5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Visit friends and family in their homes</w:t>
                              </w:r>
                            </w:p>
                            <w:p w14:paraId="0268C50C" w14:textId="77777777" w:rsidR="00A147DC" w:rsidRDefault="00A147DC" w:rsidP="00F664A5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Exercise in an indoor sports court, gym or leisure centre, or go swimming in a public pool</w:t>
                              </w:r>
                            </w:p>
                            <w:p w14:paraId="085C1004" w14:textId="77777777" w:rsidR="00A147DC" w:rsidRDefault="00A147DC" w:rsidP="00F664A5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Use an outdoor gym or playground</w:t>
                              </w:r>
                            </w:p>
                            <w:p w14:paraId="4EDF14D7" w14:textId="77777777" w:rsidR="00A147DC" w:rsidRDefault="00A147DC" w:rsidP="00F664A5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Visit a private or ticketed attraction</w:t>
                              </w:r>
                            </w:p>
                            <w:p w14:paraId="5F2F4D18" w14:textId="77777777" w:rsidR="00A147DC" w:rsidRDefault="00A147DC" w:rsidP="00F664A5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Gather in a group of more than two (excluding members of your own household), except for a few specific exceptions set out in law (for work, funerals, house moves, supporting the vulnerable, in emergencies and to fulfil legal obligations)</w:t>
                              </w:r>
                            </w:p>
                            <w:p w14:paraId="34AD69D6" w14:textId="77777777" w:rsidR="00A147DC" w:rsidRDefault="00A147DC" w:rsidP="00F664A5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If you live with anyone who is displaying symptoms you must stay at home.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 xml:space="preserve">If you are concerned about yourself or someone else then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color w:val="007C89"/>
                                    <w:sz w:val="21"/>
                                    <w:szCs w:val="21"/>
                                  </w:rPr>
                                  <w:t>contact NHS 111 online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In Phase Two, which will begin no earlier than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1 June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, nurseries and primary schools will begin a phased return. In Phase Three, which will start no earlier than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4 July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t>, more businesses will be able to open – although some, which are crowded by design, will not be able to open.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  <w:u w:val="single"/>
                                </w:rPr>
                                <w:t xml:space="preserve">For full details on the recovery strategy please visit the website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color w:val="007C89"/>
                                    <w:sz w:val="21"/>
                                    <w:szCs w:val="21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  <w:u w:val="single"/>
                                </w:rPr>
                                <w:t xml:space="preserve"> or view the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color w:val="007C89"/>
                                    <w:sz w:val="21"/>
                                    <w:szCs w:val="21"/>
                                  </w:rPr>
                                  <w:t>FAQs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1"/>
                                  <w:szCs w:val="21"/>
                                  <w:u w:val="single"/>
                                </w:rPr>
                                <w:t xml:space="preserve"> on how things will be changing on Wednesday 13 May</w:t>
                              </w:r>
                            </w:p>
                          </w:tc>
                        </w:tr>
                      </w:tbl>
                      <w:p w14:paraId="5CC40FAA" w14:textId="77777777" w:rsidR="00A147DC" w:rsidRDefault="00A147DC" w:rsidP="00F664A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220DB2" w14:textId="77777777" w:rsidR="00A147DC" w:rsidRDefault="00A147DC" w:rsidP="00F664A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2D1624" w14:textId="77777777" w:rsidR="00A147DC" w:rsidRDefault="00A147DC" w:rsidP="00F664A5"/>
          <w:p w14:paraId="45E60FBC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48612AB0" w14:textId="77777777" w:rsidTr="00F664A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"/>
                    <w:gridCol w:w="8902"/>
                  </w:tblGrid>
                  <w:tr w:rsidR="00A147DC" w14:paraId="46E76A7E" w14:textId="77777777" w:rsidTr="00F664A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25F67804" w14:textId="77777777" w:rsidR="00A147DC" w:rsidRDefault="00A147DC" w:rsidP="00F664A5"/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2"/>
                        </w:tblGrid>
                        <w:tr w:rsidR="00A147DC" w14:paraId="63C36A7A" w14:textId="77777777" w:rsidTr="00F664A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6D013E64" w14:textId="77777777" w:rsidR="00A147DC" w:rsidRDefault="00A147DC" w:rsidP="00F664A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D8B6BE" w14:textId="77777777" w:rsidR="00A147DC" w:rsidRDefault="00A147DC" w:rsidP="00F664A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ED4AF3" w14:textId="77777777" w:rsidR="00A147DC" w:rsidRDefault="00A147DC" w:rsidP="00F664A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AF76AE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07A6F252" w14:textId="77777777" w:rsidTr="00F664A5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563259E" w14:textId="77777777" w:rsidR="00A147DC" w:rsidRDefault="00A147DC" w:rsidP="00F664A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AAF80D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7026CBBD" w14:textId="77777777" w:rsidTr="00F664A5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A147DC" w14:paraId="6019FCC5" w14:textId="77777777" w:rsidTr="00F664A5"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BFAD067" w14:textId="77777777" w:rsidR="00A147DC" w:rsidRDefault="00A147DC" w:rsidP="00F664A5"/>
                    </w:tc>
                  </w:tr>
                </w:tbl>
                <w:p w14:paraId="60030D6C" w14:textId="77777777" w:rsidR="00A147DC" w:rsidRDefault="00A147DC" w:rsidP="00F664A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62F3E5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0DC97E3B" w14:textId="77777777" w:rsidTr="00F664A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"/>
                    <w:gridCol w:w="8902"/>
                  </w:tblGrid>
                  <w:tr w:rsidR="00A147DC" w14:paraId="24AF2943" w14:textId="77777777" w:rsidTr="00F664A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3E3350C3" w14:textId="77777777" w:rsidR="00A147DC" w:rsidRDefault="00A147DC" w:rsidP="00F664A5"/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2"/>
                        </w:tblGrid>
                        <w:tr w:rsidR="00A147DC" w14:paraId="5045AD38" w14:textId="77777777" w:rsidTr="00F664A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71291634" w14:textId="77777777" w:rsidR="00A147DC" w:rsidRDefault="00A147DC" w:rsidP="00F664A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C131F94" w14:textId="77777777" w:rsidR="00A147DC" w:rsidRDefault="00A147DC" w:rsidP="00F664A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CEC787" w14:textId="77777777" w:rsidR="00A147DC" w:rsidRDefault="00A147DC" w:rsidP="00F664A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FC5E66" w14:textId="77777777" w:rsidR="00A147DC" w:rsidRDefault="00A147DC" w:rsidP="00F664A5"/>
          <w:p w14:paraId="42A303DF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1C105718" w14:textId="77777777" w:rsidTr="00F664A5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A147DC" w14:paraId="42D989DD" w14:textId="77777777" w:rsidTr="00F664A5"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2D8664F" w14:textId="77777777" w:rsidR="00A147DC" w:rsidRDefault="00A147DC" w:rsidP="00F664A5"/>
                    </w:tc>
                  </w:tr>
                </w:tbl>
                <w:p w14:paraId="2E8AC0B9" w14:textId="77777777" w:rsidR="00A147DC" w:rsidRDefault="00A147DC" w:rsidP="00F664A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E9FE0C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78362B3C" w14:textId="77777777" w:rsidTr="00F664A5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40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5"/>
                  </w:tblGrid>
                  <w:tr w:rsidR="00A147DC" w14:paraId="585D25C8" w14:textId="77777777" w:rsidTr="00F664A5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0" w:type="dxa"/>
                        </w:tcMar>
                        <w:hideMark/>
                      </w:tcPr>
                      <w:p w14:paraId="60C3F364" w14:textId="6A70984B" w:rsidR="00A147DC" w:rsidRDefault="00A147DC" w:rsidP="00F664A5"/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40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5"/>
                  </w:tblGrid>
                  <w:tr w:rsidR="00A147DC" w14:paraId="192FC411" w14:textId="77777777" w:rsidTr="00F664A5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087F5D6D" w14:textId="7C8F6B41" w:rsidR="00A147DC" w:rsidRDefault="00A147DC" w:rsidP="00F664A5"/>
                    </w:tc>
                  </w:tr>
                </w:tbl>
                <w:p w14:paraId="58816CC2" w14:textId="77777777" w:rsidR="00A147DC" w:rsidRDefault="00A147DC" w:rsidP="00F664A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25980E" w14:textId="77777777" w:rsidR="00A147DC" w:rsidRDefault="00A147DC" w:rsidP="00F664A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47DC" w14:paraId="461C1608" w14:textId="77777777" w:rsidTr="00F664A5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40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5"/>
                  </w:tblGrid>
                  <w:tr w:rsidR="00A147DC" w14:paraId="062164F7" w14:textId="77777777" w:rsidTr="00F664A5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0" w:type="dxa"/>
                        </w:tcMar>
                        <w:hideMark/>
                      </w:tcPr>
                      <w:p w14:paraId="2A472349" w14:textId="10AEE030" w:rsidR="00A147DC" w:rsidRDefault="00A147DC" w:rsidP="00F664A5"/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40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5"/>
                  </w:tblGrid>
                  <w:tr w:rsidR="00A147DC" w14:paraId="7009458B" w14:textId="77777777" w:rsidTr="00F664A5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4A2B091C" w14:textId="7472AF04" w:rsidR="00A147DC" w:rsidRDefault="00A147DC" w:rsidP="00F664A5"/>
                    </w:tc>
                  </w:tr>
                </w:tbl>
                <w:p w14:paraId="2EBDE58D" w14:textId="77777777" w:rsidR="00A147DC" w:rsidRDefault="00A147DC" w:rsidP="00F664A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861982" w14:textId="77777777" w:rsidR="00A147DC" w:rsidRDefault="00A147DC" w:rsidP="00F664A5">
            <w:pPr>
              <w:rPr>
                <w:rFonts w:eastAsia="Times New Roman"/>
              </w:rPr>
            </w:pPr>
          </w:p>
        </w:tc>
      </w:tr>
    </w:tbl>
    <w:p w14:paraId="151082FB" w14:textId="77777777" w:rsidR="004E7FCE" w:rsidRDefault="00A147DC"/>
    <w:sectPr w:rsidR="004E7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7B2"/>
    <w:multiLevelType w:val="multilevel"/>
    <w:tmpl w:val="953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97C12"/>
    <w:multiLevelType w:val="multilevel"/>
    <w:tmpl w:val="15A6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50F51"/>
    <w:multiLevelType w:val="multilevel"/>
    <w:tmpl w:val="A27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10EF2"/>
    <w:multiLevelType w:val="multilevel"/>
    <w:tmpl w:val="006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F0ED3"/>
    <w:multiLevelType w:val="multilevel"/>
    <w:tmpl w:val="F09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11FC"/>
    <w:multiLevelType w:val="multilevel"/>
    <w:tmpl w:val="5222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720B5"/>
    <w:multiLevelType w:val="multilevel"/>
    <w:tmpl w:val="F970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82157"/>
    <w:multiLevelType w:val="multilevel"/>
    <w:tmpl w:val="620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DC"/>
    <w:rsid w:val="005125B7"/>
    <w:rsid w:val="007860FE"/>
    <w:rsid w:val="00A147DC"/>
    <w:rsid w:val="00C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718B"/>
  <w15:chartTrackingRefBased/>
  <w15:docId w15:val="{C07069B6-1029-4090-B363-40BCF16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47DC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147DC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147DC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7DC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7DC"/>
    <w:rPr>
      <w:rFonts w:ascii="Helvetica" w:hAnsi="Helvetica" w:cs="Helvetica"/>
      <w:b/>
      <w:bCs/>
      <w:color w:val="202020"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47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47D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14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estminster.us1.list-manage.com%2Ftrack%2Fclick%3Fu%3Da50c8b0dd980669ef713b4cca%26id%3Dadb859c134%26e%3D83566efe0a&amp;data=01%7C01%7Cjackie%40pdt.org.uk%7C270a3239986244ca0ee808d7f5ea21cb%7C3df625698c1c4506bc68f4a648602595%7C0&amp;sdata=n4M1qsMkHseXsnf0mspv%2F9hCav3PF05T4mReWdwS3pE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estminster.us1.list-manage.com%2Ftrack%2Fclick%3Fu%3Da50c8b0dd980669ef713b4cca%26id%3D65d7864449%26e%3D83566efe0a&amp;data=01%7C01%7Cjackie%40pdt.org.uk%7C270a3239986244ca0ee808d7f5ea21cb%7C3df625698c1c4506bc68f4a648602595%7C0&amp;sdata=gjt%2Fuf2HJr%2FmvIybj09sTjHC5wh%2B6C6VcmNQnqtnwBs%3D&amp;reserved=0" TargetMode="External"/><Relationship Id="rId12" Type="http://schemas.openxmlformats.org/officeDocument/2006/relationships/hyperlink" Target="https://eur02.safelinks.protection.outlook.com/?url=https%3A%2F%2Fwestminster.us1.list-manage.com%2Ftrack%2Fclick%3Fu%3Da50c8b0dd980669ef713b4cca%26id%3Da504b1e7ab%26e%3D83566efe0a&amp;data=01%7C01%7Cjackie%40pdt.org.uk%7C270a3239986244ca0ee808d7f5ea21cb%7C3df625698c1c4506bc68f4a648602595%7C0&amp;sdata=if5%2BmpR5pGG6zzFG5%2BZbQ34%2B%2BiHKFrGw13Qi3bFMgk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ur02.safelinks.protection.outlook.com/?url=https%3A%2F%2Fwestminster.us1.list-manage.com%2Ftrack%2Fclick%3Fu%3Da50c8b0dd980669ef713b4cca%26id%3D17246903c3%26e%3D83566efe0a&amp;data=01%7C01%7Cjackie%40pdt.org.uk%7C270a3239986244ca0ee808d7f5ea21cb%7C3df625698c1c4506bc68f4a648602595%7C0&amp;sdata=FN7nvGFNyMAV5ojXu65gDftw4ygme27DESTMPxXDrjA%3D&amp;reserved=0" TargetMode="External"/><Relationship Id="rId5" Type="http://schemas.openxmlformats.org/officeDocument/2006/relationships/hyperlink" Target="https://eur02.safelinks.protection.outlook.com/?url=https%3A%2F%2Fwestminster.us1.list-manage.com%2Ftrack%2Fclick%3Fu%3Da50c8b0dd980669ef713b4cca%26id%3D2726a006fd%26e%3D83566efe0a&amp;data=01%7C01%7Cjackie%40pdt.org.uk%7C270a3239986244ca0ee808d7f5ea21cb%7C3df625698c1c4506bc68f4a648602595%7C0&amp;sdata=yej%2BV9DUHuCAWyM0ZGiEC11IT6F6cSc4w5aWfzArz9g%3D&amp;reserved=0" TargetMode="External"/><Relationship Id="rId10" Type="http://schemas.openxmlformats.org/officeDocument/2006/relationships/hyperlink" Target="https://eur02.safelinks.protection.outlook.com/?url=https%3A%2F%2Fwestminster.us1.list-manage.com%2Ftrack%2Fclick%3Fu%3Da50c8b0dd980669ef713b4cca%26id%3D03e1ad2be2%26e%3D83566efe0a&amp;data=01%7C01%7Cjackie%40pdt.org.uk%7C270a3239986244ca0ee808d7f5ea21cb%7C3df625698c1c4506bc68f4a648602595%7C0&amp;sdata=ADQDjK4oxDB195z9urZxbWvDfv2DqStZtlEBiy2Vit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estminster.us1.list-manage.com%2Ftrack%2Fclick%3Fu%3Da50c8b0dd980669ef713b4cca%26id%3Def337deea3%26e%3D83566efe0a&amp;data=01%7C01%7Cjackie%40pdt.org.uk%7C270a3239986244ca0ee808d7f5ea21cb%7C3df625698c1c4506bc68f4a648602595%7C0&amp;sdata=O35yWpvF5bSYPVjecRMTCLSXAsf7uSahJq2ydASweZo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Hathway</dc:creator>
  <cp:keywords/>
  <dc:description/>
  <cp:lastModifiedBy>Nina Hathway</cp:lastModifiedBy>
  <cp:revision>1</cp:revision>
  <dcterms:created xsi:type="dcterms:W3CDTF">2020-05-14T14:08:00Z</dcterms:created>
  <dcterms:modified xsi:type="dcterms:W3CDTF">2020-05-14T14:14:00Z</dcterms:modified>
</cp:coreProperties>
</file>